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900"/>
        <w:tblW w:w="14515" w:type="dxa"/>
        <w:tblLook w:val="04A0" w:firstRow="1" w:lastRow="0" w:firstColumn="1" w:lastColumn="0" w:noHBand="0" w:noVBand="1"/>
      </w:tblPr>
      <w:tblGrid>
        <w:gridCol w:w="2073"/>
        <w:gridCol w:w="4146"/>
        <w:gridCol w:w="4148"/>
        <w:gridCol w:w="4148"/>
      </w:tblGrid>
      <w:tr w:rsidR="00B5106F" w:rsidTr="00EF78C1">
        <w:trPr>
          <w:trHeight w:val="557"/>
        </w:trPr>
        <w:tc>
          <w:tcPr>
            <w:tcW w:w="2073" w:type="dxa"/>
            <w:shd w:val="clear" w:color="auto" w:fill="FF9966"/>
          </w:tcPr>
          <w:p w:rsidR="00B5106F" w:rsidRDefault="00B5106F" w:rsidP="0002672A">
            <w:pPr>
              <w:jc w:val="center"/>
            </w:pPr>
          </w:p>
        </w:tc>
        <w:tc>
          <w:tcPr>
            <w:tcW w:w="4146" w:type="dxa"/>
            <w:shd w:val="clear" w:color="auto" w:fill="FF9966"/>
          </w:tcPr>
          <w:p w:rsidR="00B5106F" w:rsidRPr="0002672A" w:rsidRDefault="00B5106F" w:rsidP="00B5106F">
            <w:pPr>
              <w:jc w:val="center"/>
              <w:rPr>
                <w:sz w:val="40"/>
                <w:szCs w:val="40"/>
              </w:rPr>
            </w:pPr>
            <w:r w:rsidRPr="0002672A">
              <w:rPr>
                <w:sz w:val="40"/>
                <w:szCs w:val="40"/>
              </w:rPr>
              <w:t xml:space="preserve">Autumn </w:t>
            </w:r>
          </w:p>
        </w:tc>
        <w:tc>
          <w:tcPr>
            <w:tcW w:w="4148" w:type="dxa"/>
            <w:shd w:val="clear" w:color="auto" w:fill="FF9966"/>
          </w:tcPr>
          <w:p w:rsidR="00B5106F" w:rsidRPr="0002672A" w:rsidRDefault="00B5106F" w:rsidP="00B5106F">
            <w:pPr>
              <w:jc w:val="center"/>
              <w:rPr>
                <w:sz w:val="40"/>
                <w:szCs w:val="40"/>
              </w:rPr>
            </w:pPr>
            <w:r w:rsidRPr="0002672A">
              <w:rPr>
                <w:sz w:val="40"/>
                <w:szCs w:val="40"/>
              </w:rPr>
              <w:t xml:space="preserve">Spring </w:t>
            </w:r>
          </w:p>
        </w:tc>
        <w:tc>
          <w:tcPr>
            <w:tcW w:w="4148" w:type="dxa"/>
            <w:shd w:val="clear" w:color="auto" w:fill="FF9966"/>
          </w:tcPr>
          <w:p w:rsidR="00B5106F" w:rsidRPr="0002672A" w:rsidRDefault="00B5106F" w:rsidP="00EF78C1">
            <w:pPr>
              <w:jc w:val="center"/>
              <w:rPr>
                <w:sz w:val="40"/>
                <w:szCs w:val="40"/>
              </w:rPr>
            </w:pPr>
            <w:r w:rsidRPr="0002672A">
              <w:rPr>
                <w:sz w:val="40"/>
                <w:szCs w:val="40"/>
              </w:rPr>
              <w:t xml:space="preserve">Summer </w:t>
            </w:r>
          </w:p>
        </w:tc>
      </w:tr>
      <w:tr w:rsidR="00B5106F" w:rsidTr="00EF78C1">
        <w:trPr>
          <w:trHeight w:val="1268"/>
        </w:trPr>
        <w:tc>
          <w:tcPr>
            <w:tcW w:w="2073" w:type="dxa"/>
            <w:shd w:val="clear" w:color="auto" w:fill="FF9966"/>
          </w:tcPr>
          <w:p w:rsidR="00B5106F" w:rsidRPr="0002672A" w:rsidRDefault="00B5106F" w:rsidP="0002672A">
            <w:pPr>
              <w:jc w:val="center"/>
              <w:rPr>
                <w:sz w:val="40"/>
                <w:szCs w:val="40"/>
              </w:rPr>
            </w:pPr>
            <w:r w:rsidRPr="0002672A">
              <w:rPr>
                <w:sz w:val="40"/>
                <w:szCs w:val="40"/>
              </w:rPr>
              <w:t>Year 3</w:t>
            </w:r>
          </w:p>
        </w:tc>
        <w:tc>
          <w:tcPr>
            <w:tcW w:w="4146" w:type="dxa"/>
            <w:shd w:val="clear" w:color="auto" w:fill="FFFF99"/>
          </w:tcPr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</w:p>
          <w:p w:rsidR="00B5106F" w:rsidRPr="00EF78C1" w:rsidRDefault="00E7200A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Drug, alcohol, tobacco, keeping safe</w:t>
            </w:r>
          </w:p>
          <w:p w:rsidR="00B5106F" w:rsidRPr="00EF78C1" w:rsidRDefault="00B5106F" w:rsidP="00EF78C1">
            <w:pPr>
              <w:rPr>
                <w:sz w:val="24"/>
                <w:szCs w:val="24"/>
              </w:rPr>
            </w:pPr>
          </w:p>
        </w:tc>
        <w:tc>
          <w:tcPr>
            <w:tcW w:w="4148" w:type="dxa"/>
            <w:shd w:val="clear" w:color="auto" w:fill="FFFF99"/>
          </w:tcPr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Mental and emotional wellbeing. Identity, society. Equality.</w:t>
            </w:r>
          </w:p>
        </w:tc>
        <w:tc>
          <w:tcPr>
            <w:tcW w:w="4148" w:type="dxa"/>
            <w:shd w:val="clear" w:color="auto" w:fill="FFFF99"/>
          </w:tcPr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</w:p>
          <w:p w:rsidR="00B5106F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Careers, financial capability and economic wellbeing</w:t>
            </w:r>
          </w:p>
        </w:tc>
      </w:tr>
      <w:tr w:rsidR="00B5106F" w:rsidTr="00EF78C1">
        <w:trPr>
          <w:trHeight w:val="1093"/>
        </w:trPr>
        <w:tc>
          <w:tcPr>
            <w:tcW w:w="2073" w:type="dxa"/>
            <w:shd w:val="clear" w:color="auto" w:fill="FF9966"/>
          </w:tcPr>
          <w:p w:rsidR="00B5106F" w:rsidRPr="0002672A" w:rsidRDefault="00B5106F" w:rsidP="0002672A">
            <w:pPr>
              <w:jc w:val="center"/>
              <w:rPr>
                <w:sz w:val="40"/>
                <w:szCs w:val="40"/>
              </w:rPr>
            </w:pPr>
            <w:r w:rsidRPr="0002672A">
              <w:rPr>
                <w:sz w:val="40"/>
                <w:szCs w:val="40"/>
              </w:rPr>
              <w:t>Year 4</w:t>
            </w:r>
          </w:p>
        </w:tc>
        <w:tc>
          <w:tcPr>
            <w:tcW w:w="4146" w:type="dxa"/>
            <w:shd w:val="clear" w:color="auto" w:fill="FFFF99"/>
          </w:tcPr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Identity, society and equality. Drugs and tobacco</w:t>
            </w:r>
            <w:proofErr w:type="gramStart"/>
            <w:r w:rsidRPr="00EF78C1">
              <w:rPr>
                <w:sz w:val="24"/>
                <w:szCs w:val="24"/>
              </w:rPr>
              <w:t>-( making</w:t>
            </w:r>
            <w:proofErr w:type="gramEnd"/>
            <w:r w:rsidRPr="00EF78C1">
              <w:rPr>
                <w:sz w:val="24"/>
                <w:szCs w:val="24"/>
              </w:rPr>
              <w:t xml:space="preserve"> choices).</w:t>
            </w:r>
          </w:p>
          <w:p w:rsidR="00B5106F" w:rsidRPr="00EF78C1" w:rsidRDefault="00B5106F" w:rsidP="00EF78C1">
            <w:pPr>
              <w:rPr>
                <w:sz w:val="24"/>
                <w:szCs w:val="24"/>
              </w:rPr>
            </w:pPr>
          </w:p>
        </w:tc>
        <w:tc>
          <w:tcPr>
            <w:tcW w:w="4148" w:type="dxa"/>
            <w:shd w:val="clear" w:color="auto" w:fill="FFFF99"/>
          </w:tcPr>
          <w:p w:rsidR="00EF78C1" w:rsidRDefault="00EF78C1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Physical health and wellbeing (What’s important to me?)</w:t>
            </w:r>
          </w:p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48" w:type="dxa"/>
            <w:shd w:val="clear" w:color="auto" w:fill="FFFF99"/>
          </w:tcPr>
          <w:p w:rsidR="00EF78C1" w:rsidRDefault="00EF78C1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 xml:space="preserve"> Keeping safe and managing risk. (playing safe)</w:t>
            </w:r>
          </w:p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</w:tc>
      </w:tr>
      <w:tr w:rsidR="00B5106F" w:rsidTr="00B5106F">
        <w:trPr>
          <w:trHeight w:val="1603"/>
        </w:trPr>
        <w:tc>
          <w:tcPr>
            <w:tcW w:w="2073" w:type="dxa"/>
            <w:shd w:val="clear" w:color="auto" w:fill="FF9966"/>
          </w:tcPr>
          <w:p w:rsidR="00B5106F" w:rsidRPr="0002672A" w:rsidRDefault="00B5106F" w:rsidP="0002672A">
            <w:pPr>
              <w:jc w:val="center"/>
              <w:rPr>
                <w:sz w:val="40"/>
                <w:szCs w:val="40"/>
              </w:rPr>
            </w:pPr>
            <w:r w:rsidRPr="0002672A">
              <w:rPr>
                <w:sz w:val="40"/>
                <w:szCs w:val="40"/>
              </w:rPr>
              <w:t>Year 5</w:t>
            </w:r>
          </w:p>
        </w:tc>
        <w:tc>
          <w:tcPr>
            <w:tcW w:w="4146" w:type="dxa"/>
            <w:shd w:val="clear" w:color="auto" w:fill="FFFF99"/>
          </w:tcPr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Physical health and wellbeing (media</w:t>
            </w:r>
            <w:proofErr w:type="gramStart"/>
            <w:r w:rsidRPr="00EF78C1">
              <w:rPr>
                <w:sz w:val="24"/>
                <w:szCs w:val="24"/>
              </w:rPr>
              <w:t>) .</w:t>
            </w:r>
            <w:proofErr w:type="gramEnd"/>
            <w:r w:rsidRPr="00EF78C1">
              <w:rPr>
                <w:sz w:val="24"/>
                <w:szCs w:val="24"/>
              </w:rPr>
              <w:t xml:space="preserve"> Identity and society and equality – (stereotypes)</w:t>
            </w:r>
          </w:p>
          <w:p w:rsidR="00B5106F" w:rsidRPr="00EF78C1" w:rsidRDefault="00B5106F" w:rsidP="00EF78C1">
            <w:pPr>
              <w:rPr>
                <w:sz w:val="24"/>
                <w:szCs w:val="24"/>
              </w:rPr>
            </w:pPr>
          </w:p>
        </w:tc>
        <w:tc>
          <w:tcPr>
            <w:tcW w:w="4148" w:type="dxa"/>
            <w:shd w:val="clear" w:color="auto" w:fill="FFFF99"/>
          </w:tcPr>
          <w:p w:rsidR="00EF78C1" w:rsidRDefault="00EF78C1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Keeping safe and managing risk (when things go wrong) Mental and emotional wellbeing (Dealing with feelings)</w:t>
            </w:r>
          </w:p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48" w:type="dxa"/>
            <w:shd w:val="clear" w:color="auto" w:fill="FFFF99"/>
          </w:tcPr>
          <w:p w:rsidR="00EF78C1" w:rsidRDefault="00EF78C1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Drug, alcohol, tobacco (influences)</w:t>
            </w:r>
          </w:p>
          <w:p w:rsidR="00EF78C1" w:rsidRPr="00EF78C1" w:rsidRDefault="00EF78C1" w:rsidP="00EF78C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EF78C1">
              <w:rPr>
                <w:sz w:val="24"/>
                <w:szCs w:val="24"/>
              </w:rPr>
              <w:t>Careers, financial capability and economic wellbeing (borrowing and earning money)</w:t>
            </w:r>
          </w:p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</w:tc>
      </w:tr>
      <w:tr w:rsidR="00B5106F" w:rsidTr="00B5106F">
        <w:trPr>
          <w:trHeight w:val="1580"/>
        </w:trPr>
        <w:tc>
          <w:tcPr>
            <w:tcW w:w="2073" w:type="dxa"/>
            <w:shd w:val="clear" w:color="auto" w:fill="FF9966"/>
          </w:tcPr>
          <w:p w:rsidR="00B5106F" w:rsidRPr="0002672A" w:rsidRDefault="00B5106F" w:rsidP="0002672A">
            <w:pPr>
              <w:jc w:val="center"/>
              <w:rPr>
                <w:sz w:val="40"/>
                <w:szCs w:val="40"/>
              </w:rPr>
            </w:pPr>
            <w:r w:rsidRPr="0002672A">
              <w:rPr>
                <w:sz w:val="40"/>
                <w:szCs w:val="40"/>
              </w:rPr>
              <w:t>Year 6</w:t>
            </w:r>
          </w:p>
        </w:tc>
        <w:tc>
          <w:tcPr>
            <w:tcW w:w="4146" w:type="dxa"/>
            <w:shd w:val="clear" w:color="auto" w:fill="FFFF99"/>
          </w:tcPr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Drug, alcohol and tobacco (weighing up risk)</w:t>
            </w: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Identity, society and equality (Human rights)</w:t>
            </w:r>
          </w:p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48" w:type="dxa"/>
            <w:shd w:val="clear" w:color="auto" w:fill="FFFF99"/>
          </w:tcPr>
          <w:p w:rsidR="00EF78C1" w:rsidRDefault="00EF78C1" w:rsidP="00EF78C1">
            <w:pPr>
              <w:jc w:val="center"/>
              <w:rPr>
                <w:sz w:val="24"/>
                <w:szCs w:val="24"/>
              </w:rPr>
            </w:pPr>
          </w:p>
          <w:p w:rsidR="00B5106F" w:rsidRPr="00EF78C1" w:rsidRDefault="00EF78C1" w:rsidP="00EF78C1">
            <w:pPr>
              <w:jc w:val="center"/>
              <w:rPr>
                <w:sz w:val="24"/>
                <w:szCs w:val="24"/>
              </w:rPr>
            </w:pPr>
            <w:r w:rsidRPr="00EF78C1">
              <w:rPr>
                <w:sz w:val="24"/>
                <w:szCs w:val="24"/>
              </w:rPr>
              <w:t>Mental and emotional wellbeing (healthy mind)</w:t>
            </w:r>
          </w:p>
        </w:tc>
        <w:tc>
          <w:tcPr>
            <w:tcW w:w="4148" w:type="dxa"/>
            <w:shd w:val="clear" w:color="auto" w:fill="FFFF99"/>
          </w:tcPr>
          <w:p w:rsidR="00EF78C1" w:rsidRDefault="00EF78C1" w:rsidP="00EF78C1">
            <w:pPr>
              <w:jc w:val="center"/>
              <w:rPr>
                <w:sz w:val="24"/>
                <w:szCs w:val="24"/>
              </w:rPr>
            </w:pPr>
          </w:p>
          <w:p w:rsidR="00EF78C1" w:rsidRPr="00EF78C1" w:rsidRDefault="00EF78C1" w:rsidP="00EF78C1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EF78C1">
              <w:rPr>
                <w:sz w:val="24"/>
                <w:szCs w:val="24"/>
              </w:rPr>
              <w:t xml:space="preserve">Keeping safe and managing risk </w:t>
            </w:r>
            <w:proofErr w:type="gramStart"/>
            <w:r w:rsidRPr="00EF78C1">
              <w:rPr>
                <w:sz w:val="24"/>
                <w:szCs w:val="24"/>
              </w:rPr>
              <w:t>( out</w:t>
            </w:r>
            <w:proofErr w:type="gramEnd"/>
            <w:r w:rsidRPr="00EF78C1">
              <w:rPr>
                <w:sz w:val="24"/>
                <w:szCs w:val="24"/>
              </w:rPr>
              <w:t xml:space="preserve"> and about) F.G.M</w:t>
            </w:r>
          </w:p>
          <w:p w:rsidR="00B5106F" w:rsidRPr="00EF78C1" w:rsidRDefault="00B5106F" w:rsidP="00EF78C1">
            <w:pPr>
              <w:jc w:val="center"/>
              <w:rPr>
                <w:sz w:val="24"/>
                <w:szCs w:val="24"/>
              </w:rPr>
            </w:pPr>
          </w:p>
        </w:tc>
      </w:tr>
    </w:tbl>
    <w:p w:rsidR="00870F6F" w:rsidRDefault="00870F6F"/>
    <w:sectPr w:rsidR="00870F6F" w:rsidSect="0002672A">
      <w:headerReference w:type="default" r:id="rId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00A" w:rsidRDefault="00E7200A" w:rsidP="0002672A">
      <w:pPr>
        <w:spacing w:after="0" w:line="240" w:lineRule="auto"/>
      </w:pPr>
      <w:r>
        <w:separator/>
      </w:r>
    </w:p>
  </w:endnote>
  <w:endnote w:type="continuationSeparator" w:id="0">
    <w:p w:rsidR="00E7200A" w:rsidRDefault="00E7200A" w:rsidP="00026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00A" w:rsidRDefault="00E7200A" w:rsidP="0002672A">
      <w:pPr>
        <w:spacing w:after="0" w:line="240" w:lineRule="auto"/>
      </w:pPr>
      <w:r>
        <w:separator/>
      </w:r>
    </w:p>
  </w:footnote>
  <w:footnote w:type="continuationSeparator" w:id="0">
    <w:p w:rsidR="00E7200A" w:rsidRDefault="00E7200A" w:rsidP="00026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00A" w:rsidRPr="0002672A" w:rsidRDefault="00E7200A" w:rsidP="0002672A">
    <w:pPr>
      <w:pStyle w:val="Header"/>
      <w:rPr>
        <w:sz w:val="40"/>
        <w:szCs w:val="40"/>
      </w:rPr>
    </w:pPr>
    <w:r w:rsidRPr="0002672A">
      <w:rPr>
        <w:b/>
        <w:noProof/>
        <w:sz w:val="40"/>
        <w:szCs w:val="40"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0ACAC34E" wp14:editId="1FB34FF2">
          <wp:simplePos x="0" y="0"/>
          <wp:positionH relativeFrom="margin">
            <wp:align>right</wp:align>
          </wp:positionH>
          <wp:positionV relativeFrom="paragraph">
            <wp:posOffset>-164465</wp:posOffset>
          </wp:positionV>
          <wp:extent cx="469900" cy="593090"/>
          <wp:effectExtent l="0" t="0" r="635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593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2672A">
      <w:rPr>
        <w:b/>
        <w:noProof/>
        <w:sz w:val="40"/>
        <w:szCs w:val="40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0ACAC34E" wp14:editId="1FB34FF2">
          <wp:simplePos x="0" y="0"/>
          <wp:positionH relativeFrom="margin">
            <wp:align>left</wp:align>
          </wp:positionH>
          <wp:positionV relativeFrom="paragraph">
            <wp:posOffset>-124460</wp:posOffset>
          </wp:positionV>
          <wp:extent cx="469900" cy="593090"/>
          <wp:effectExtent l="0" t="0" r="6350" b="0"/>
          <wp:wrapTight wrapText="bothSides">
            <wp:wrapPolygon edited="0">
              <wp:start x="0" y="0"/>
              <wp:lineTo x="0" y="20814"/>
              <wp:lineTo x="21016" y="20814"/>
              <wp:lineTo x="2101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593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2672A">
      <w:rPr>
        <w:sz w:val="40"/>
        <w:szCs w:val="40"/>
      </w:rPr>
      <w:t>St Cecilia’s Catholic Junior School</w:t>
    </w:r>
    <w:r>
      <w:rPr>
        <w:sz w:val="40"/>
        <w:szCs w:val="40"/>
      </w:rPr>
      <w:t>-</w:t>
    </w:r>
    <w:r w:rsidRPr="0002672A">
      <w:rPr>
        <w:sz w:val="40"/>
        <w:szCs w:val="40"/>
      </w:rPr>
      <w:t xml:space="preserve">Planning Overview for </w:t>
    </w:r>
    <w:r>
      <w:rPr>
        <w:b/>
        <w:sz w:val="40"/>
        <w:szCs w:val="40"/>
      </w:rPr>
      <w:t xml:space="preserve">PSHE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72A"/>
    <w:rsid w:val="0002672A"/>
    <w:rsid w:val="0012140F"/>
    <w:rsid w:val="00840717"/>
    <w:rsid w:val="00870F6F"/>
    <w:rsid w:val="00A65871"/>
    <w:rsid w:val="00B5106F"/>
    <w:rsid w:val="00C51BFA"/>
    <w:rsid w:val="00E22819"/>
    <w:rsid w:val="00E7200A"/>
    <w:rsid w:val="00EF78C1"/>
    <w:rsid w:val="00F02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24E2C70"/>
  <w15:chartTrackingRefBased/>
  <w15:docId w15:val="{4351D6D2-9698-430D-9246-FF3B504A5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6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6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72A"/>
  </w:style>
  <w:style w:type="paragraph" w:styleId="Footer">
    <w:name w:val="footer"/>
    <w:basedOn w:val="Normal"/>
    <w:link w:val="FooterChar"/>
    <w:uiPriority w:val="99"/>
    <w:unhideWhenUsed/>
    <w:rsid w:val="00026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Hurst</dc:creator>
  <cp:keywords/>
  <dc:description/>
  <cp:lastModifiedBy>Suzanne Hurst</cp:lastModifiedBy>
  <cp:revision>2</cp:revision>
  <cp:lastPrinted>2020-09-11T10:16:00Z</cp:lastPrinted>
  <dcterms:created xsi:type="dcterms:W3CDTF">2020-09-11T11:09:00Z</dcterms:created>
  <dcterms:modified xsi:type="dcterms:W3CDTF">2020-09-11T11:09:00Z</dcterms:modified>
</cp:coreProperties>
</file>